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2ABB">
      <w:pPr>
        <w:pStyle w:val="a3"/>
        <w:jc w:val="center"/>
      </w:pPr>
      <w:r>
        <w:rPr>
          <w:noProof/>
        </w:rPr>
        <w:drawing>
          <wp:inline distT="0" distB="0" distL="0" distR="0">
            <wp:extent cx="666750" cy="914400"/>
            <wp:effectExtent l="19050" t="0" r="0" b="0"/>
            <wp:docPr id="1" name="Рисунок 1" descr="C:\Users\d25cho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25cho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12ABB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НАЦІОНАЛЬНЕ АГЕНТСТВО З ПИТАНЬ ЗАПОБІГАННЯ КОРУПЦІЇ</w:t>
      </w:r>
    </w:p>
    <w:p w:rsidR="00000000" w:rsidRDefault="00012ABB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НАКАЗ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30"/>
        <w:gridCol w:w="2927"/>
        <w:gridCol w:w="3430"/>
      </w:tblGrid>
      <w:tr w:rsidR="00000000">
        <w:trPr>
          <w:tblCellSpacing w:w="22" w:type="dxa"/>
        </w:trPr>
        <w:tc>
          <w:tcPr>
            <w:tcW w:w="1750" w:type="pct"/>
            <w:hideMark/>
          </w:tcPr>
          <w:p w:rsidR="00000000" w:rsidRDefault="00012ABB">
            <w:pPr>
              <w:pStyle w:val="a3"/>
              <w:jc w:val="center"/>
            </w:pPr>
            <w:r>
              <w:rPr>
                <w:b/>
                <w:bCs/>
              </w:rPr>
              <w:t>23.07.2021</w:t>
            </w:r>
          </w:p>
        </w:tc>
        <w:tc>
          <w:tcPr>
            <w:tcW w:w="1500" w:type="pct"/>
            <w:hideMark/>
          </w:tcPr>
          <w:p w:rsidR="00000000" w:rsidRDefault="00012ABB">
            <w:pPr>
              <w:pStyle w:val="a3"/>
              <w:jc w:val="center"/>
            </w:pPr>
            <w:r>
              <w:rPr>
                <w:b/>
                <w:bCs/>
              </w:rPr>
              <w:t>м. Київ</w:t>
            </w:r>
          </w:p>
        </w:tc>
        <w:tc>
          <w:tcPr>
            <w:tcW w:w="1750" w:type="pct"/>
            <w:hideMark/>
          </w:tcPr>
          <w:p w:rsidR="00000000" w:rsidRDefault="00012ABB">
            <w:pPr>
              <w:pStyle w:val="a3"/>
              <w:jc w:val="center"/>
            </w:pPr>
            <w:r>
              <w:rPr>
                <w:b/>
                <w:bCs/>
              </w:rPr>
              <w:t>N 451/21</w:t>
            </w:r>
          </w:p>
        </w:tc>
      </w:tr>
    </w:tbl>
    <w:p w:rsidR="00000000" w:rsidRDefault="00012ABB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012ABB">
      <w:pPr>
        <w:pStyle w:val="a3"/>
        <w:jc w:val="center"/>
      </w:pPr>
      <w:r>
        <w:rPr>
          <w:b/>
          <w:bCs/>
        </w:rPr>
        <w:t>Зареєстровано в Міністерстві юстиції України</w:t>
      </w:r>
      <w:r>
        <w:br/>
      </w:r>
      <w:r>
        <w:rPr>
          <w:b/>
          <w:bCs/>
        </w:rPr>
        <w:t>29 липня 2021 р. за N 989/36611</w:t>
      </w:r>
    </w:p>
    <w:p w:rsidR="00000000" w:rsidRDefault="00012ABB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Про затвердження Порядку інформування Національного агентства з питань запобігання корупції про відкриття валютного рахунка в установі банку-нерезидента</w:t>
      </w:r>
    </w:p>
    <w:p w:rsidR="00000000" w:rsidRDefault="00012ABB">
      <w:pPr>
        <w:pStyle w:val="a3"/>
        <w:jc w:val="both"/>
        <w:rPr>
          <w:color w:val="0000FF"/>
        </w:rPr>
      </w:pPr>
      <w:r>
        <w:t xml:space="preserve">Відповідно до </w:t>
      </w:r>
      <w:r>
        <w:rPr>
          <w:color w:val="0000FF"/>
        </w:rPr>
        <w:t>пункту 5 частини першої статті 12</w:t>
      </w:r>
      <w:r>
        <w:t xml:space="preserve">, </w:t>
      </w:r>
      <w:r>
        <w:rPr>
          <w:color w:val="0000FF"/>
        </w:rPr>
        <w:t>частин першої</w:t>
      </w:r>
      <w:r>
        <w:t xml:space="preserve">, </w:t>
      </w:r>
      <w:r>
        <w:rPr>
          <w:color w:val="0000FF"/>
        </w:rPr>
        <w:t>п'ятої статті 52 Закону України "Про за</w:t>
      </w:r>
      <w:r>
        <w:rPr>
          <w:color w:val="0000FF"/>
        </w:rPr>
        <w:t>побігання корупції"</w:t>
      </w:r>
    </w:p>
    <w:p w:rsidR="00000000" w:rsidRDefault="00012ABB">
      <w:pPr>
        <w:pStyle w:val="a3"/>
        <w:jc w:val="both"/>
      </w:pPr>
      <w:r>
        <w:rPr>
          <w:b/>
          <w:bCs/>
        </w:rPr>
        <w:t>НАКАЗУЮ:</w:t>
      </w:r>
    </w:p>
    <w:p w:rsidR="00000000" w:rsidRDefault="00012ABB">
      <w:pPr>
        <w:pStyle w:val="a3"/>
        <w:jc w:val="both"/>
      </w:pPr>
      <w:r>
        <w:t>1. Затвердити Порядок інформування Національного агентства з питань запобігання корупції про відкриття валютного рахунка в установі банку-нерезидента, що додається.</w:t>
      </w:r>
    </w:p>
    <w:p w:rsidR="00000000" w:rsidRDefault="00012ABB">
      <w:pPr>
        <w:pStyle w:val="a3"/>
        <w:jc w:val="both"/>
      </w:pPr>
      <w:r>
        <w:t xml:space="preserve">2. Визнати таким, що втратило чинність, </w:t>
      </w:r>
      <w:r>
        <w:rPr>
          <w:color w:val="0000FF"/>
        </w:rPr>
        <w:t xml:space="preserve">рішення Національного </w:t>
      </w:r>
      <w:r>
        <w:rPr>
          <w:color w:val="0000FF"/>
        </w:rPr>
        <w:t>агентства з питань запобігання корупції від 06 вересня 2016 року N 20 "Про затвердження Порядку інформування Національного агентства з питань запобігання корупції про відкриття валютного рахунка в установі банку-нерезидента та внесення зміни до Порядку фор</w:t>
      </w:r>
      <w:r>
        <w:rPr>
          <w:color w:val="0000FF"/>
        </w:rPr>
        <w:t>мування, ведення та оприлюднення (надання) інформації Єдиного державного реєстру декларацій осіб, уповноважених на виконання функцій держави або місцевого самоврядування"</w:t>
      </w:r>
      <w:r>
        <w:t>, зареєстрованого в Міністерстві юстиції України 18 жовтня 2016 року за N 1366/29496 (</w:t>
      </w:r>
      <w:r>
        <w:t>зі змінами).</w:t>
      </w:r>
    </w:p>
    <w:p w:rsidR="00000000" w:rsidRDefault="00012ABB">
      <w:pPr>
        <w:pStyle w:val="a3"/>
        <w:jc w:val="both"/>
      </w:pPr>
      <w:r>
        <w:t>3. Управлінню проведення обов'язкових повних перевірок подати цей наказ на державну реєстрацію до Міністерства юстиції України.</w:t>
      </w:r>
    </w:p>
    <w:p w:rsidR="00000000" w:rsidRDefault="00012ABB">
      <w:pPr>
        <w:pStyle w:val="a3"/>
        <w:jc w:val="both"/>
      </w:pPr>
      <w:r>
        <w:t>4. Контроль за виконанням цього наказу покласти на заступника Голови Національного агентства з питань запобігання корупції Романа СУХОСТАВЦЯ.</w:t>
      </w:r>
    </w:p>
    <w:p w:rsidR="00000000" w:rsidRDefault="00012ABB">
      <w:pPr>
        <w:pStyle w:val="a3"/>
        <w:jc w:val="both"/>
      </w:pPr>
      <w:r>
        <w:t>5. Цей наказ набирає чинності з 01 грудня 2021 року, але не раніше дня його офіційного опублікування.</w:t>
      </w:r>
    </w:p>
    <w:p w:rsidR="00000000" w:rsidRDefault="00012ABB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23"/>
        <w:gridCol w:w="4924"/>
      </w:tblGrid>
      <w:tr w:rsidR="00000000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000000" w:rsidRDefault="00012ABB">
            <w:pPr>
              <w:pStyle w:val="a3"/>
              <w:jc w:val="center"/>
            </w:pPr>
            <w:r>
              <w:rPr>
                <w:b/>
                <w:bCs/>
              </w:rPr>
              <w:t xml:space="preserve">Голова </w:t>
            </w:r>
            <w:r>
              <w:rPr>
                <w:b/>
                <w:bCs/>
              </w:rPr>
              <w:t>Національного агентства</w:t>
            </w:r>
            <w:r>
              <w:br/>
            </w:r>
            <w:r>
              <w:rPr>
                <w:b/>
                <w:bCs/>
              </w:rPr>
              <w:t>з питань запобігання корупції</w:t>
            </w:r>
          </w:p>
        </w:tc>
        <w:tc>
          <w:tcPr>
            <w:tcW w:w="2500" w:type="pct"/>
            <w:vAlign w:val="bottom"/>
            <w:hideMark/>
          </w:tcPr>
          <w:p w:rsidR="00000000" w:rsidRDefault="00012ABB">
            <w:pPr>
              <w:pStyle w:val="a3"/>
              <w:jc w:val="center"/>
            </w:pPr>
            <w:r>
              <w:rPr>
                <w:b/>
                <w:bCs/>
              </w:rPr>
              <w:t>Олександр НОВІКОВ</w:t>
            </w:r>
          </w:p>
        </w:tc>
      </w:tr>
      <w:tr w:rsidR="00000000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000000" w:rsidRDefault="00012ABB">
            <w:pPr>
              <w:pStyle w:val="a3"/>
              <w:jc w:val="center"/>
            </w:pPr>
            <w:r>
              <w:rPr>
                <w:b/>
                <w:bCs/>
              </w:rPr>
              <w:t>ПОГОДЖЕНО:</w:t>
            </w:r>
          </w:p>
        </w:tc>
        <w:tc>
          <w:tcPr>
            <w:tcW w:w="2500" w:type="pct"/>
            <w:vAlign w:val="bottom"/>
            <w:hideMark/>
          </w:tcPr>
          <w:p w:rsidR="00000000" w:rsidRDefault="00012ABB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000000" w:rsidRDefault="00012ABB">
            <w:pPr>
              <w:pStyle w:val="a3"/>
              <w:jc w:val="center"/>
            </w:pPr>
            <w:r>
              <w:rPr>
                <w:b/>
                <w:bCs/>
              </w:rPr>
              <w:t>Перший заступник Міністра</w:t>
            </w:r>
            <w:r>
              <w:br/>
            </w:r>
            <w:r>
              <w:rPr>
                <w:b/>
                <w:bCs/>
              </w:rPr>
              <w:t>цифрової трансформації України</w:t>
            </w:r>
          </w:p>
        </w:tc>
        <w:tc>
          <w:tcPr>
            <w:tcW w:w="2500" w:type="pct"/>
            <w:vAlign w:val="bottom"/>
            <w:hideMark/>
          </w:tcPr>
          <w:p w:rsidR="00000000" w:rsidRDefault="00012ABB">
            <w:pPr>
              <w:pStyle w:val="a3"/>
              <w:jc w:val="center"/>
            </w:pPr>
            <w:r>
              <w:rPr>
                <w:b/>
                <w:bCs/>
              </w:rPr>
              <w:t>Олексій ВИСКУБ</w:t>
            </w:r>
          </w:p>
        </w:tc>
      </w:tr>
    </w:tbl>
    <w:p w:rsidR="00000000" w:rsidRDefault="00012ABB">
      <w:pPr>
        <w:pStyle w:val="a3"/>
        <w:jc w:val="both"/>
      </w:pPr>
      <w:r>
        <w:br w:type="textWrapping" w:clear="all"/>
      </w:r>
    </w:p>
    <w:p w:rsidR="00000000" w:rsidRDefault="00012ABB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04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012ABB">
            <w:pPr>
              <w:pStyle w:val="a3"/>
            </w:pPr>
            <w:r>
              <w:t>ЗАТВЕРДЖЕНО</w:t>
            </w:r>
            <w:r>
              <w:br/>
              <w:t>Наказ Національного агентства з питань запобігання корупції</w:t>
            </w:r>
            <w:r>
              <w:br/>
            </w:r>
            <w:r>
              <w:t>23 липня 2021 року N 451/21</w:t>
            </w:r>
          </w:p>
        </w:tc>
      </w:tr>
    </w:tbl>
    <w:p w:rsidR="00000000" w:rsidRDefault="00012ABB">
      <w:pPr>
        <w:pStyle w:val="a3"/>
        <w:jc w:val="both"/>
      </w:pPr>
      <w:r>
        <w:br w:type="textWrapping" w:clear="all"/>
      </w:r>
    </w:p>
    <w:p w:rsidR="00000000" w:rsidRDefault="00012AB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ПОРЯДОК</w:t>
      </w:r>
      <w:r>
        <w:rPr>
          <w:rFonts w:eastAsia="Times New Roman"/>
        </w:rPr>
        <w:br/>
        <w:t>інформування Національного агентства з питань запобігання корупції про відкриття валютного рахунка в установі банку-нерезидента</w:t>
      </w:r>
    </w:p>
    <w:p w:rsidR="00000000" w:rsidRDefault="00012ABB">
      <w:pPr>
        <w:pStyle w:val="a3"/>
        <w:jc w:val="both"/>
      </w:pPr>
      <w:r>
        <w:t>1. Цей Порядок визначає процедуру інформування Національного агентства з питань запобіганн</w:t>
      </w:r>
      <w:r>
        <w:t>я корупції (далі - Національне агентство) про відкриття суб'єктом декларування або членом його сім'ї валютного рахунка в установі банку-нерезидента.</w:t>
      </w:r>
    </w:p>
    <w:p w:rsidR="00000000" w:rsidRDefault="00012ABB">
      <w:pPr>
        <w:pStyle w:val="a3"/>
        <w:jc w:val="both"/>
      </w:pPr>
      <w:r>
        <w:t>2. У цьому Порядку терміни вживаються у таких значеннях:</w:t>
      </w:r>
    </w:p>
    <w:p w:rsidR="00000000" w:rsidRDefault="00012ABB">
      <w:pPr>
        <w:pStyle w:val="a3"/>
        <w:jc w:val="both"/>
      </w:pPr>
      <w:r>
        <w:t>валютний рахунок - будь-який рахунок суб'єкта декл</w:t>
      </w:r>
      <w:r>
        <w:t>арування або члена його сім'ї, відкритий в установі банку-нерезидента в будь-якій валюті;</w:t>
      </w:r>
    </w:p>
    <w:p w:rsidR="00000000" w:rsidRDefault="00012ABB">
      <w:pPr>
        <w:pStyle w:val="a3"/>
        <w:jc w:val="both"/>
      </w:pPr>
      <w:r>
        <w:t>установа банку-нерезидента - юридична особа - нерезидент будь-якої організаційно-правової форми, яка є банком, її відокремлені підрозділи (філії, відділення), що створені та діють відповідно до законодавства іноземної держави та з місцезнаходженням за межа</w:t>
      </w:r>
      <w:r>
        <w:t>ми України.</w:t>
      </w:r>
    </w:p>
    <w:p w:rsidR="00000000" w:rsidRDefault="00012ABB">
      <w:pPr>
        <w:pStyle w:val="a3"/>
        <w:jc w:val="both"/>
      </w:pPr>
      <w:r>
        <w:t xml:space="preserve">Інші терміни вживаються у значеннях, наведених у </w:t>
      </w:r>
      <w:r>
        <w:rPr>
          <w:color w:val="0000FF"/>
        </w:rPr>
        <w:t>Законі України "Про запобігання корупції"</w:t>
      </w:r>
      <w:r>
        <w:t>, інших законах та прийнятих відповідно до них нормативно-правових актах.</w:t>
      </w:r>
    </w:p>
    <w:p w:rsidR="00000000" w:rsidRDefault="00012ABB">
      <w:pPr>
        <w:pStyle w:val="a3"/>
        <w:jc w:val="both"/>
      </w:pPr>
      <w:r>
        <w:t>3. У разі відкриття суб'єктом декларування або членом його сім'ї валютного рахун</w:t>
      </w:r>
      <w:r>
        <w:t>ка в установі банку-нерезидента відповідний суб'єкт декларування зобов'язаний повідомити про це Національне агентство у десятиденний строк з дня, коли суб'єкт декларування чи член його сім'ї відкрив зазначений валютний рахунок, або з дня, коли суб'єкту дек</w:t>
      </w:r>
      <w:r>
        <w:t>ларування стало відомо або повинно було стати відомо про відкриття зазначеного валютного рахунка членом сім'ї.</w:t>
      </w:r>
    </w:p>
    <w:p w:rsidR="00000000" w:rsidRDefault="00012ABB">
      <w:pPr>
        <w:pStyle w:val="a3"/>
        <w:jc w:val="both"/>
      </w:pPr>
      <w:r>
        <w:t>4. Інформування Національного агентства про відкриття валютного рахунка в установі банку-нерезидента здійснюється особисто суб'єктом декларування</w:t>
      </w:r>
      <w:r>
        <w:t xml:space="preserve"> шляхом заповнення відповідної електронної форми повідомлення про відкриття суб'єктом декларування або членом його сім'ї валютного рахунка в установі банку-нерезидента (далі - повідомлення) (додаток) після автентифікації у персональному електронному кабіне</w:t>
      </w:r>
      <w:r>
        <w:t>ті Єдиного державного реєстру декларацій осіб, уповноважених на виконання функцій держави або місцевого самоврядування (далі - Реєстр).</w:t>
      </w:r>
    </w:p>
    <w:p w:rsidR="00000000" w:rsidRDefault="00012ABB">
      <w:pPr>
        <w:pStyle w:val="a3"/>
        <w:jc w:val="both"/>
      </w:pPr>
      <w:r>
        <w:t>5. Якщо суб'єкт декларування або член його сім'ї відкрив в один день декілька валютних рахунків в одній установі банку-н</w:t>
      </w:r>
      <w:r>
        <w:t>ерезидента, суб'єкт декларування подає одне повідомлення із зазначенням номерів відповідних валютних рахунків і місцезнаходження установи банку-нерезидента. Якщо валютні рахунки відкриті в один день як суб'єктом декларування, так і членом його сім'ї, або я</w:t>
      </w:r>
      <w:r>
        <w:t>кщо валютні рахунки відкриті в різних установах банку-нерезидента, подаються окремі повідомлення стосовно кожної особи чи кожної установи банку-нерезидента.</w:t>
      </w:r>
    </w:p>
    <w:p w:rsidR="00000000" w:rsidRDefault="00012ABB">
      <w:pPr>
        <w:pStyle w:val="a3"/>
        <w:jc w:val="both"/>
      </w:pPr>
      <w:r>
        <w:t>6. Якщо валютний рахунок в установі банку-нерезидента відкритий членом сім'ї суб'єкта декларування,</w:t>
      </w:r>
      <w:r>
        <w:t xml:space="preserve"> суб'єкт декларування зазначає в повідомленні надану йому членом сім'ї інформацію про такий валютний рахунок та установу банку нерезидента, а в разі відмови члена сім'ї надати всю чи частину інформації - усю відому суб'єкту декларування інформацію про таки</w:t>
      </w:r>
      <w:r>
        <w:t>й валютний рахунок і установу банку-нерезидента. Розділ 2 повідомлення "Інформація про члена сім'ї суб'єкта декларування, який відкрив валютний рахунок" заповнюється у разі відкриття валютного рахунка в установі банку-нерезидента членом сім'ї суб'єкта декл</w:t>
      </w:r>
      <w:r>
        <w:t>арування.</w:t>
      </w:r>
    </w:p>
    <w:p w:rsidR="00000000" w:rsidRDefault="00012ABB">
      <w:pPr>
        <w:pStyle w:val="a3"/>
        <w:jc w:val="both"/>
      </w:pPr>
      <w:r>
        <w:t>7. Повідомлення подається незалежно від того, перебуває суб'єкт декларування в Україні чи за її межами.</w:t>
      </w:r>
    </w:p>
    <w:p w:rsidR="00000000" w:rsidRDefault="00012ABB">
      <w:pPr>
        <w:pStyle w:val="a3"/>
        <w:jc w:val="both"/>
      </w:pPr>
      <w:r>
        <w:t>Суб'єкт декларування до початку заповнення повідомлення повинен підтвердити ознайомлення із цим Порядком. Обробка персональних даних у Реєстрі</w:t>
      </w:r>
      <w:r>
        <w:t xml:space="preserve"> здійснюється з дотриманням вимог </w:t>
      </w:r>
      <w:r>
        <w:rPr>
          <w:color w:val="0000FF"/>
        </w:rPr>
        <w:t>Закону України "Про захист персональних даних"</w:t>
      </w:r>
      <w:r>
        <w:t>.</w:t>
      </w:r>
    </w:p>
    <w:p w:rsidR="00000000" w:rsidRDefault="00012ABB">
      <w:pPr>
        <w:pStyle w:val="a3"/>
        <w:jc w:val="both"/>
      </w:pPr>
      <w:r>
        <w:t>Після заповнення усіх необхідних розділів повідомлення суб'єкту декларування надається можливість перевірити повноту та правильність зазначеної ним інформації.</w:t>
      </w:r>
    </w:p>
    <w:p w:rsidR="00000000" w:rsidRDefault="00012ABB">
      <w:pPr>
        <w:pStyle w:val="a3"/>
        <w:jc w:val="both"/>
      </w:pPr>
      <w:r>
        <w:t>Перед підписанням повідомлення суб'єкт декларування підтверджує повноту та правильність внесених до повідомлення даних шляхом проставлення відповідної відмітки.</w:t>
      </w:r>
    </w:p>
    <w:p w:rsidR="00000000" w:rsidRDefault="00012ABB">
      <w:pPr>
        <w:pStyle w:val="a3"/>
        <w:jc w:val="both"/>
      </w:pPr>
      <w:r>
        <w:t>Суб'єкт декларування підписує повідомлення шляхом накладання на нього особистого кваліфікованог</w:t>
      </w:r>
      <w:r>
        <w:t>о електронного підпису або удосконаленого електронного підпису, відповідно до вимог законодавства.</w:t>
      </w:r>
    </w:p>
    <w:p w:rsidR="00000000" w:rsidRDefault="00012ABB">
      <w:pPr>
        <w:pStyle w:val="a3"/>
        <w:jc w:val="both"/>
      </w:pPr>
      <w:r>
        <w:t>Подання повідомлення до Реєстру підтверджується шляхом надсилання інформації про подання повідомлення суб'єкту декларування на адресу його електронної пошти,</w:t>
      </w:r>
      <w:r>
        <w:t xml:space="preserve"> зазначену в персональному електронному кабінеті, та до персонального електронного кабінету суб'єкта декларування.</w:t>
      </w:r>
    </w:p>
    <w:p w:rsidR="00000000" w:rsidRDefault="00012ABB">
      <w:pPr>
        <w:pStyle w:val="a3"/>
        <w:jc w:val="both"/>
      </w:pPr>
      <w:r>
        <w:t>Паперова копія повідомлення до Національного агентства не подається. Повідомлення включаються до Реєстру та не оприлюднюються в його публічні</w:t>
      </w:r>
      <w:r>
        <w:t>й частині.</w:t>
      </w:r>
    </w:p>
    <w:p w:rsidR="00000000" w:rsidRDefault="00012ABB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93"/>
        <w:gridCol w:w="4894"/>
      </w:tblGrid>
      <w:tr w:rsidR="00000000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000000" w:rsidRDefault="00012ABB">
            <w:pPr>
              <w:pStyle w:val="a3"/>
              <w:jc w:val="center"/>
            </w:pPr>
            <w:r>
              <w:rPr>
                <w:b/>
                <w:bCs/>
              </w:rPr>
              <w:t>Керівник Управління</w:t>
            </w:r>
            <w:r>
              <w:br/>
            </w:r>
            <w:r>
              <w:rPr>
                <w:b/>
                <w:bCs/>
              </w:rPr>
              <w:t>проведення спеціальних перевірок</w:t>
            </w:r>
            <w:r>
              <w:br/>
            </w:r>
            <w:r>
              <w:rPr>
                <w:b/>
                <w:bCs/>
              </w:rPr>
              <w:t>та моніторингу способу життя</w:t>
            </w:r>
          </w:p>
        </w:tc>
        <w:tc>
          <w:tcPr>
            <w:tcW w:w="2500" w:type="pct"/>
            <w:vAlign w:val="bottom"/>
            <w:hideMark/>
          </w:tcPr>
          <w:p w:rsidR="00000000" w:rsidRDefault="00012ABB">
            <w:pPr>
              <w:pStyle w:val="a3"/>
              <w:jc w:val="center"/>
            </w:pPr>
            <w:r>
              <w:rPr>
                <w:b/>
                <w:bCs/>
              </w:rPr>
              <w:t>Олександр АМПЛЕЄВ</w:t>
            </w:r>
          </w:p>
        </w:tc>
      </w:tr>
    </w:tbl>
    <w:p w:rsidR="00000000" w:rsidRDefault="00012ABB">
      <w:pPr>
        <w:pStyle w:val="a3"/>
        <w:jc w:val="both"/>
      </w:pPr>
      <w:r>
        <w:br w:type="textWrapping" w:clear="all"/>
      </w:r>
    </w:p>
    <w:p w:rsidR="00000000" w:rsidRDefault="00012ABB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04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012ABB">
            <w:pPr>
              <w:pStyle w:val="a3"/>
            </w:pPr>
            <w:r>
              <w:t>Додаток</w:t>
            </w:r>
            <w:r>
              <w:br/>
            </w:r>
            <w:r>
              <w:t>до Порядку інформування Національного агентства з питань запобігання корупції про відкриття валютного рахунка в установі банку-нерезидента</w:t>
            </w:r>
            <w:r>
              <w:br/>
              <w:t>(пункт 4)</w:t>
            </w:r>
          </w:p>
        </w:tc>
      </w:tr>
    </w:tbl>
    <w:p w:rsidR="00000000" w:rsidRDefault="00012ABB">
      <w:pPr>
        <w:pStyle w:val="a3"/>
        <w:jc w:val="both"/>
      </w:pPr>
      <w:r>
        <w:br w:type="textWrapping" w:clear="all"/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05"/>
        <w:gridCol w:w="4812"/>
      </w:tblGrid>
      <w:tr w:rsidR="00000000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  <w:jc w:val="center"/>
            </w:pPr>
            <w:r>
              <w:rPr>
                <w:b/>
                <w:bCs/>
              </w:rPr>
              <w:t>ПОВІДОМЛЕННЯ ПРО ВІДКРИТТЯ ВАЛЮТНОГО РАХУНКА</w:t>
            </w:r>
            <w:r>
              <w:br/>
            </w:r>
            <w:r>
              <w:rPr>
                <w:b/>
                <w:bCs/>
              </w:rPr>
              <w:t>в установі банку-нерезидента суб'єктом декларування або ч</w:t>
            </w:r>
            <w:r>
              <w:rPr>
                <w:b/>
                <w:bCs/>
              </w:rPr>
              <w:t>леном його сім'ї</w:t>
            </w:r>
          </w:p>
        </w:tc>
      </w:tr>
      <w:tr w:rsidR="00000000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  <w:jc w:val="center"/>
            </w:pPr>
            <w:r>
              <w:rPr>
                <w:b/>
                <w:bCs/>
              </w:rPr>
              <w:t>1. ІНФОРМАЦІЯ ПРО СУБ'ЄКТА ДЕКЛАРУВАННЯ</w:t>
            </w:r>
          </w:p>
        </w:tc>
      </w:tr>
      <w:tr w:rsidR="00000000">
        <w:trPr>
          <w:tblCellSpacing w:w="22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</w:pPr>
            <w:r>
              <w:rPr>
                <w:b/>
                <w:bCs/>
              </w:rPr>
              <w:t>Прізвище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</w:pPr>
            <w:r>
              <w:rPr>
                <w:b/>
                <w:bCs/>
              </w:rPr>
              <w:t>Ім'я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</w:pPr>
            <w:r>
              <w:rPr>
                <w:b/>
                <w:bCs/>
              </w:rPr>
              <w:t xml:space="preserve">По батькові </w:t>
            </w:r>
            <w:r>
              <w:t>(за наявності)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</w:pPr>
            <w:r>
              <w:t>Дата народження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</w:pPr>
            <w:r>
              <w:t>Реєстраційний номер облікової картки платника податків (за наявності)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</w:pPr>
            <w:r>
              <w:t>Реквізити паспорта громадянина України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</w:pPr>
            <w:r>
              <w:t>Унікальний номер запису в Єдиному державному демографічному реєстрі (за наявності)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  <w:jc w:val="center"/>
            </w:pPr>
            <w:r>
              <w:rPr>
                <w:b/>
                <w:bCs/>
              </w:rPr>
              <w:t>Інформація про місце роботи (проходження служби) і посаду суб'єкта декларування</w:t>
            </w:r>
          </w:p>
        </w:tc>
      </w:tr>
      <w:tr w:rsidR="00000000">
        <w:trPr>
          <w:tblCellSpacing w:w="22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</w:pPr>
            <w:r>
              <w:t>Код в Єдиному державному реєстрі юридичних осіб, фізичних осіб-підприємців та громадських формувань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</w:pPr>
            <w:r>
              <w:t>Місце роботи або проходження служби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</w:pPr>
            <w:r>
              <w:t>Займана посада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</w:pPr>
            <w:r>
              <w:t>Тип посади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</w:pPr>
            <w:r>
              <w:t>Категорія посади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  <w:jc w:val="center"/>
            </w:pPr>
            <w:r>
              <w:rPr>
                <w:b/>
                <w:bCs/>
              </w:rPr>
              <w:t>2. ІНФОРМАЦІЯ ПРО ЧЛЕНА СІМ'Ї СУБ'ЄКТА ДЕКЛАРУВАННЯ, ЯКИЙ ВІДКРИВ ВАЛЮТНИЙ РАХУНОК</w:t>
            </w:r>
            <w:r>
              <w:br/>
              <w:t>(заповнюється у разі відкриття валютного рахунка в установі банку-нерезидента членом сім'ї суб'єкта декларування)</w:t>
            </w:r>
          </w:p>
        </w:tc>
      </w:tr>
      <w:tr w:rsidR="00000000">
        <w:trPr>
          <w:tblCellSpacing w:w="22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</w:pPr>
            <w:r>
              <w:t>Зв'язок із суб'єктом декларування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</w:pPr>
            <w:r>
              <w:rPr>
                <w:b/>
                <w:bCs/>
              </w:rPr>
              <w:t>Прізвище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</w:pPr>
            <w:r>
              <w:rPr>
                <w:b/>
                <w:bCs/>
              </w:rPr>
              <w:t>Ім'я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</w:pPr>
            <w:r>
              <w:rPr>
                <w:b/>
                <w:bCs/>
              </w:rPr>
              <w:t xml:space="preserve">По батькові </w:t>
            </w:r>
            <w:r>
              <w:t>(за наявності)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</w:pPr>
            <w:r>
              <w:t>Громадянство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</w:pPr>
            <w:r>
              <w:t>Дата народження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</w:pPr>
            <w:r>
              <w:t>Реєстраційний номер облікової картки платника податків (за наявності)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</w:pPr>
            <w:r>
              <w:t>Реквізити паспорта громадянина України/свідоцтва про народження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  <w:jc w:val="center"/>
            </w:pPr>
            <w:r>
              <w:rPr>
                <w:b/>
                <w:bCs/>
              </w:rPr>
              <w:t>3. ІНФОРМАЦІЯ ПРО ВАЛЮТНИЙ РАХУНОК</w:t>
            </w:r>
          </w:p>
        </w:tc>
      </w:tr>
      <w:tr w:rsidR="00000000">
        <w:trPr>
          <w:tblCellSpacing w:w="22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</w:pPr>
            <w:r>
              <w:t>Особа, яка відкрила валютний рахунок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</w:pPr>
            <w:r>
              <w:t>Найменування установи банку-нерезидента (англійською мовою), у якій відкрито рахунок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</w:pPr>
            <w:r>
              <w:t>Повна адреса місцезнаходження установи банку-нерезидента (англійською мовою)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</w:pPr>
            <w:r>
              <w:t>SWIFT BIC-код установи банку-нерезидента або код банку за іншою міжнародною платіжною системою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</w:pPr>
            <w:r>
              <w:t>Номер рахунка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</w:pPr>
            <w:r>
              <w:t>Валюта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tblCellSpacing w:w="22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</w:pPr>
            <w:r>
              <w:t>Дата відкриття рахунка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012ABB">
            <w:pPr>
              <w:pStyle w:val="a3"/>
              <w:jc w:val="center"/>
            </w:pPr>
            <w:r>
              <w:t> </w:t>
            </w:r>
          </w:p>
        </w:tc>
      </w:tr>
    </w:tbl>
    <w:p w:rsidR="00000000" w:rsidRDefault="00012ABB">
      <w:pPr>
        <w:pStyle w:val="a3"/>
        <w:jc w:val="both"/>
      </w:pPr>
      <w:r>
        <w:br w:type="textWrapping" w:clear="all"/>
      </w:r>
    </w:p>
    <w:p w:rsidR="00000000" w:rsidRDefault="00012ABB">
      <w:pPr>
        <w:pStyle w:val="a3"/>
        <w:jc w:val="center"/>
      </w:pPr>
      <w:r>
        <w:rPr>
          <w:b/>
          <w:bCs/>
        </w:rPr>
        <w:t>____________</w:t>
      </w:r>
    </w:p>
    <w:p w:rsidR="00000000" w:rsidRDefault="00012ABB">
      <w:pPr>
        <w:pStyle w:val="a3"/>
        <w:jc w:val="both"/>
      </w:pPr>
      <w:r>
        <w:rPr>
          <w:b/>
          <w:bCs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4"/>
        <w:gridCol w:w="1215"/>
      </w:tblGrid>
      <w:tr w:rsidR="00000000">
        <w:trPr>
          <w:tblCellSpacing w:w="15" w:type="dxa"/>
        </w:trPr>
        <w:tc>
          <w:tcPr>
            <w:tcW w:w="4500" w:type="pct"/>
            <w:vAlign w:val="center"/>
            <w:hideMark/>
          </w:tcPr>
          <w:p w:rsidR="00000000" w:rsidRDefault="00012AB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© ТОВ "Інформаційно-аналітичний центр "ЛІГА", 2021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© ТОВ "ЛІГА ЗАКОН", 2021</w:t>
            </w:r>
          </w:p>
        </w:tc>
        <w:tc>
          <w:tcPr>
            <w:tcW w:w="500" w:type="pct"/>
            <w:vAlign w:val="center"/>
            <w:hideMark/>
          </w:tcPr>
          <w:p w:rsidR="00000000" w:rsidRDefault="00012ABB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95325" cy="314325"/>
                  <wp:effectExtent l="19050" t="0" r="9525" b="0"/>
                  <wp:docPr id="2" name="Рисунок 2" descr="C:\Users\d25cho\AppData\Roaming\Liga70\Client\Session\LOGOTYP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25cho\AppData\Roaming\Liga70\Client\Session\LOGOTYP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2ABB" w:rsidRDefault="00012ABB">
      <w:pPr>
        <w:rPr>
          <w:rFonts w:eastAsia="Times New Roman"/>
        </w:rPr>
      </w:pPr>
    </w:p>
    <w:sectPr w:rsidR="00012A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708"/>
  <w:hyphenationZone w:val="425"/>
  <w:noPunctuationKerning/>
  <w:characterSpacingControl w:val="doNotCompress"/>
  <w:compat/>
  <w:rsids>
    <w:rsidRoot w:val="00F11470"/>
    <w:rsid w:val="00012ABB"/>
    <w:rsid w:val="00B67AC8"/>
    <w:rsid w:val="00F1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7A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AC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d25cho\AppData\Roaming\Liga70\Client\Session\LOGOTYPE.BMP" TargetMode="External"/><Relationship Id="rId4" Type="http://schemas.openxmlformats.org/officeDocument/2006/relationships/image" Target="file:///C:\Users\d25cho\AppData\Roaming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5214</Words>
  <Characters>2973</Characters>
  <Application>Microsoft Office Word</Application>
  <DocSecurity>0</DocSecurity>
  <Lines>24</Lines>
  <Paragraphs>16</Paragraphs>
  <ScaleCrop>false</ScaleCrop>
  <Company/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d25cho</dc:creator>
  <cp:lastModifiedBy>d25cho</cp:lastModifiedBy>
  <cp:revision>2</cp:revision>
  <dcterms:created xsi:type="dcterms:W3CDTF">2021-12-01T13:10:00Z</dcterms:created>
  <dcterms:modified xsi:type="dcterms:W3CDTF">2021-12-01T13:10:00Z</dcterms:modified>
</cp:coreProperties>
</file>